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161" w:rsidRDefault="00DC7161" w:rsidP="00087152">
      <w:pPr>
        <w:jc w:val="center"/>
        <w:rPr>
          <w:b/>
        </w:rPr>
      </w:pPr>
    </w:p>
    <w:p w:rsidR="00DC7161" w:rsidRDefault="00DC7161" w:rsidP="00087152">
      <w:pPr>
        <w:jc w:val="center"/>
        <w:rPr>
          <w:b/>
        </w:rPr>
      </w:pPr>
    </w:p>
    <w:p w:rsidR="00DC7161" w:rsidRDefault="00DC7161" w:rsidP="00087152">
      <w:pPr>
        <w:jc w:val="center"/>
        <w:rPr>
          <w:b/>
        </w:rPr>
      </w:pPr>
    </w:p>
    <w:p w:rsidR="00DC7161" w:rsidRDefault="00BD6A21" w:rsidP="00BD6A21">
      <w:pPr>
        <w:tabs>
          <w:tab w:val="left" w:pos="3195"/>
        </w:tabs>
        <w:rPr>
          <w:b/>
        </w:rPr>
      </w:pPr>
      <w:r>
        <w:rPr>
          <w:b/>
        </w:rPr>
        <w:tab/>
      </w:r>
    </w:p>
    <w:p w:rsidR="00DC7161" w:rsidRDefault="00DC7161" w:rsidP="00087152">
      <w:pPr>
        <w:jc w:val="center"/>
        <w:rPr>
          <w:b/>
        </w:rPr>
      </w:pPr>
    </w:p>
    <w:p w:rsidR="00DC7161" w:rsidRPr="00BD6A21" w:rsidRDefault="00DC7161" w:rsidP="00BD6A21">
      <w:pPr>
        <w:spacing w:line="480" w:lineRule="auto"/>
        <w:jc w:val="center"/>
        <w:rPr>
          <w:rFonts w:ascii="Times New Roman" w:hAnsi="Times New Roman" w:cs="Times New Roman"/>
          <w:b/>
          <w:sz w:val="24"/>
          <w:szCs w:val="24"/>
        </w:rPr>
      </w:pPr>
    </w:p>
    <w:p w:rsidR="00DC7161" w:rsidRPr="00BD6A21" w:rsidRDefault="00DC7161" w:rsidP="00BD6A21">
      <w:pPr>
        <w:spacing w:line="480" w:lineRule="auto"/>
        <w:jc w:val="center"/>
        <w:rPr>
          <w:rFonts w:ascii="Times New Roman" w:hAnsi="Times New Roman" w:cs="Times New Roman"/>
          <w:sz w:val="24"/>
          <w:szCs w:val="24"/>
        </w:rPr>
      </w:pPr>
      <w:r w:rsidRPr="00BD6A21">
        <w:rPr>
          <w:rFonts w:ascii="Times New Roman" w:hAnsi="Times New Roman" w:cs="Times New Roman"/>
          <w:sz w:val="24"/>
          <w:szCs w:val="24"/>
        </w:rPr>
        <w:t>Exclusionary Rule</w:t>
      </w:r>
    </w:p>
    <w:p w:rsidR="00DC7161" w:rsidRPr="00BD6A21" w:rsidRDefault="00DC7161" w:rsidP="00BD6A21">
      <w:pPr>
        <w:spacing w:line="480" w:lineRule="auto"/>
        <w:jc w:val="center"/>
        <w:rPr>
          <w:rFonts w:ascii="Times New Roman" w:hAnsi="Times New Roman" w:cs="Times New Roman"/>
          <w:sz w:val="24"/>
          <w:szCs w:val="24"/>
        </w:rPr>
      </w:pPr>
      <w:r w:rsidRPr="00BD6A21">
        <w:rPr>
          <w:rFonts w:ascii="Times New Roman" w:hAnsi="Times New Roman" w:cs="Times New Roman"/>
          <w:sz w:val="24"/>
          <w:szCs w:val="24"/>
        </w:rPr>
        <w:t>Student name</w:t>
      </w:r>
    </w:p>
    <w:p w:rsidR="00DC7161" w:rsidRPr="00BD6A21" w:rsidRDefault="00DC7161" w:rsidP="00BD6A21">
      <w:pPr>
        <w:spacing w:line="480" w:lineRule="auto"/>
        <w:jc w:val="center"/>
        <w:rPr>
          <w:rFonts w:ascii="Times New Roman" w:hAnsi="Times New Roman" w:cs="Times New Roman"/>
          <w:sz w:val="24"/>
          <w:szCs w:val="24"/>
        </w:rPr>
      </w:pPr>
      <w:r w:rsidRPr="00BD6A21">
        <w:rPr>
          <w:rFonts w:ascii="Times New Roman" w:hAnsi="Times New Roman" w:cs="Times New Roman"/>
          <w:sz w:val="24"/>
          <w:szCs w:val="24"/>
        </w:rPr>
        <w:t>Institution affiliations</w:t>
      </w:r>
    </w:p>
    <w:p w:rsidR="00DC7161" w:rsidRPr="00BD6A21" w:rsidRDefault="00DC7161" w:rsidP="00BD6A21">
      <w:pPr>
        <w:spacing w:line="480" w:lineRule="auto"/>
        <w:jc w:val="center"/>
        <w:rPr>
          <w:rFonts w:ascii="Times New Roman" w:hAnsi="Times New Roman" w:cs="Times New Roman"/>
          <w:sz w:val="24"/>
          <w:szCs w:val="24"/>
        </w:rPr>
      </w:pPr>
      <w:r w:rsidRPr="00BD6A21">
        <w:rPr>
          <w:rFonts w:ascii="Times New Roman" w:hAnsi="Times New Roman" w:cs="Times New Roman"/>
          <w:sz w:val="24"/>
          <w:szCs w:val="24"/>
        </w:rPr>
        <w:t>Date</w:t>
      </w:r>
    </w:p>
    <w:p w:rsidR="00DC7161" w:rsidRPr="00BD6A21" w:rsidRDefault="00DC7161" w:rsidP="00BD6A21">
      <w:pPr>
        <w:spacing w:line="480" w:lineRule="auto"/>
        <w:jc w:val="center"/>
        <w:rPr>
          <w:rFonts w:ascii="Times New Roman" w:hAnsi="Times New Roman" w:cs="Times New Roman"/>
          <w:sz w:val="24"/>
          <w:szCs w:val="24"/>
        </w:rPr>
      </w:pPr>
      <w:r w:rsidRPr="00BD6A21">
        <w:rPr>
          <w:rFonts w:ascii="Times New Roman" w:hAnsi="Times New Roman" w:cs="Times New Roman"/>
          <w:sz w:val="24"/>
          <w:szCs w:val="24"/>
        </w:rPr>
        <w:t>Course title</w:t>
      </w:r>
      <w:r w:rsidRPr="00BD6A21">
        <w:rPr>
          <w:rFonts w:ascii="Times New Roman" w:hAnsi="Times New Roman" w:cs="Times New Roman"/>
          <w:sz w:val="24"/>
          <w:szCs w:val="24"/>
        </w:rPr>
        <w:br w:type="page"/>
      </w:r>
    </w:p>
    <w:p w:rsidR="005E5371" w:rsidRPr="00BD6A21" w:rsidRDefault="00087152" w:rsidP="00BD6A21">
      <w:pPr>
        <w:spacing w:line="480" w:lineRule="auto"/>
        <w:jc w:val="center"/>
        <w:rPr>
          <w:rFonts w:ascii="Times New Roman" w:hAnsi="Times New Roman" w:cs="Times New Roman"/>
          <w:b/>
          <w:sz w:val="24"/>
          <w:szCs w:val="24"/>
        </w:rPr>
      </w:pPr>
      <w:r w:rsidRPr="00BD6A21">
        <w:rPr>
          <w:rFonts w:ascii="Times New Roman" w:hAnsi="Times New Roman" w:cs="Times New Roman"/>
          <w:b/>
          <w:sz w:val="24"/>
          <w:szCs w:val="24"/>
        </w:rPr>
        <w:lastRenderedPageBreak/>
        <w:t>Exclusionary Rule</w:t>
      </w:r>
    </w:p>
    <w:p w:rsidR="00DC7161" w:rsidRPr="00BD6A21" w:rsidRDefault="00087152" w:rsidP="005F5C0B">
      <w:pPr>
        <w:spacing w:line="480" w:lineRule="auto"/>
        <w:ind w:firstLine="720"/>
        <w:rPr>
          <w:rFonts w:ascii="Times New Roman" w:hAnsi="Times New Roman" w:cs="Times New Roman"/>
          <w:sz w:val="24"/>
          <w:szCs w:val="24"/>
        </w:rPr>
      </w:pPr>
      <w:r w:rsidRPr="00BD6A21">
        <w:rPr>
          <w:rFonts w:ascii="Times New Roman" w:hAnsi="Times New Roman" w:cs="Times New Roman"/>
          <w:sz w:val="24"/>
          <w:szCs w:val="24"/>
        </w:rPr>
        <w:t>Exclusionary rule offer protection to the defendants, from violation of fourth amendment right in that the government is prevented from presenting evidence which has been obtained illegally and against unlawful search and seizure</w:t>
      </w:r>
      <w:r w:rsidR="0087097B" w:rsidRPr="0087097B">
        <w:rPr>
          <w:rFonts w:ascii="Times New Roman" w:hAnsi="Times New Roman" w:cs="Times New Roman"/>
          <w:color w:val="222222"/>
          <w:sz w:val="24"/>
          <w:szCs w:val="24"/>
          <w:shd w:val="clear" w:color="auto" w:fill="FFFFFF"/>
        </w:rPr>
        <w:t xml:space="preserve"> </w:t>
      </w:r>
      <w:r w:rsidR="0087097B">
        <w:rPr>
          <w:rFonts w:ascii="Times New Roman" w:hAnsi="Times New Roman" w:cs="Times New Roman"/>
          <w:color w:val="222222"/>
          <w:sz w:val="24"/>
          <w:szCs w:val="24"/>
          <w:shd w:val="clear" w:color="auto" w:fill="FFFFFF"/>
        </w:rPr>
        <w:t xml:space="preserve">(Kaplan, </w:t>
      </w:r>
      <w:r w:rsidR="0087097B" w:rsidRPr="00BD6A21">
        <w:rPr>
          <w:rFonts w:ascii="Times New Roman" w:hAnsi="Times New Roman" w:cs="Times New Roman"/>
          <w:color w:val="222222"/>
          <w:sz w:val="24"/>
          <w:szCs w:val="24"/>
          <w:shd w:val="clear" w:color="auto" w:fill="FFFFFF"/>
        </w:rPr>
        <w:t>1973)</w:t>
      </w:r>
      <w:r w:rsidRPr="00BD6A21">
        <w:rPr>
          <w:rFonts w:ascii="Times New Roman" w:hAnsi="Times New Roman" w:cs="Times New Roman"/>
          <w:sz w:val="24"/>
          <w:szCs w:val="24"/>
        </w:rPr>
        <w:t>.</w:t>
      </w:r>
      <w:r w:rsidR="000724CF" w:rsidRPr="00BD6A21">
        <w:rPr>
          <w:rFonts w:ascii="Times New Roman" w:hAnsi="Times New Roman" w:cs="Times New Roman"/>
          <w:sz w:val="24"/>
          <w:szCs w:val="24"/>
        </w:rPr>
        <w:t xml:space="preserve"> The rule also effects the American courts with rule to ban evidences from such origins which are unlawful.</w:t>
      </w:r>
      <w:r w:rsidR="00DC7161" w:rsidRPr="00BD6A21">
        <w:rPr>
          <w:rFonts w:ascii="Times New Roman" w:hAnsi="Times New Roman" w:cs="Times New Roman"/>
          <w:sz w:val="24"/>
          <w:szCs w:val="24"/>
        </w:rPr>
        <w:t xml:space="preserve"> </w:t>
      </w:r>
      <w:r w:rsidR="000724CF" w:rsidRPr="00BD6A21">
        <w:rPr>
          <w:rFonts w:ascii="Times New Roman" w:hAnsi="Times New Roman" w:cs="Times New Roman"/>
          <w:sz w:val="24"/>
          <w:szCs w:val="24"/>
        </w:rPr>
        <w:t xml:space="preserve">There are many exceptions to the exclusionary rule which serve as the protection measure to the accused in the court of law, constitutionally but without the extents to which justice cannot be warranted. </w:t>
      </w:r>
    </w:p>
    <w:p w:rsidR="00DC7161" w:rsidRPr="00BD6A21" w:rsidRDefault="000724CF" w:rsidP="005F5C0B">
      <w:pPr>
        <w:spacing w:line="480" w:lineRule="auto"/>
        <w:ind w:firstLine="720"/>
        <w:rPr>
          <w:rFonts w:ascii="Times New Roman" w:hAnsi="Times New Roman" w:cs="Times New Roman"/>
          <w:sz w:val="24"/>
          <w:szCs w:val="24"/>
        </w:rPr>
      </w:pPr>
      <w:r w:rsidRPr="00BD6A21">
        <w:rPr>
          <w:rFonts w:ascii="Times New Roman" w:hAnsi="Times New Roman" w:cs="Times New Roman"/>
          <w:sz w:val="24"/>
          <w:szCs w:val="24"/>
        </w:rPr>
        <w:t>Good faith exception is one of them</w:t>
      </w:r>
      <w:r w:rsidR="002F3B4F" w:rsidRPr="00BD6A21">
        <w:rPr>
          <w:rFonts w:ascii="Times New Roman" w:hAnsi="Times New Roman" w:cs="Times New Roman"/>
          <w:sz w:val="24"/>
          <w:szCs w:val="24"/>
        </w:rPr>
        <w:t>,</w:t>
      </w:r>
      <w:r w:rsidRPr="00BD6A21">
        <w:rPr>
          <w:rFonts w:ascii="Times New Roman" w:hAnsi="Times New Roman" w:cs="Times New Roman"/>
          <w:sz w:val="24"/>
          <w:szCs w:val="24"/>
        </w:rPr>
        <w:t xml:space="preserve"> which </w:t>
      </w:r>
      <w:r w:rsidR="002F3B4F" w:rsidRPr="00BD6A21">
        <w:rPr>
          <w:rFonts w:ascii="Times New Roman" w:hAnsi="Times New Roman" w:cs="Times New Roman"/>
          <w:sz w:val="24"/>
          <w:szCs w:val="24"/>
        </w:rPr>
        <w:t>accepts the evidence presented upon the search warrant and obtained by the law enforcing agencies reasonably and the evidence is invalidated.</w:t>
      </w:r>
      <w:r w:rsidR="0087097B" w:rsidRPr="0087097B">
        <w:rPr>
          <w:rFonts w:ascii="Times New Roman" w:hAnsi="Times New Roman" w:cs="Times New Roman"/>
          <w:color w:val="222222"/>
          <w:sz w:val="24"/>
          <w:szCs w:val="24"/>
          <w:shd w:val="clear" w:color="auto" w:fill="FFFFFF"/>
        </w:rPr>
        <w:t xml:space="preserve"> </w:t>
      </w:r>
      <w:r w:rsidR="0087097B">
        <w:rPr>
          <w:rFonts w:ascii="Times New Roman" w:hAnsi="Times New Roman" w:cs="Times New Roman"/>
          <w:color w:val="222222"/>
          <w:sz w:val="24"/>
          <w:szCs w:val="24"/>
          <w:shd w:val="clear" w:color="auto" w:fill="FFFFFF"/>
        </w:rPr>
        <w:t xml:space="preserve">(Hanlon, </w:t>
      </w:r>
      <w:r w:rsidR="0087097B" w:rsidRPr="00BD6A21">
        <w:rPr>
          <w:rFonts w:ascii="Times New Roman" w:hAnsi="Times New Roman" w:cs="Times New Roman"/>
          <w:color w:val="222222"/>
          <w:sz w:val="24"/>
          <w:szCs w:val="24"/>
          <w:shd w:val="clear" w:color="auto" w:fill="FFFFFF"/>
        </w:rPr>
        <w:t xml:space="preserve">2015). </w:t>
      </w:r>
      <w:r w:rsidR="002F3B4F" w:rsidRPr="00BD6A21">
        <w:rPr>
          <w:rFonts w:ascii="Times New Roman" w:hAnsi="Times New Roman" w:cs="Times New Roman"/>
          <w:sz w:val="24"/>
          <w:szCs w:val="24"/>
        </w:rPr>
        <w:t>The cas</w:t>
      </w:r>
      <w:r w:rsidR="00BD6A21">
        <w:rPr>
          <w:rFonts w:ascii="Times New Roman" w:hAnsi="Times New Roman" w:cs="Times New Roman"/>
          <w:sz w:val="24"/>
          <w:szCs w:val="24"/>
        </w:rPr>
        <w:t>e of Arizona and the Gants</w:t>
      </w:r>
      <w:r w:rsidR="002F3B4F" w:rsidRPr="00BD6A21">
        <w:rPr>
          <w:rFonts w:ascii="Times New Roman" w:hAnsi="Times New Roman" w:cs="Times New Roman"/>
          <w:sz w:val="24"/>
          <w:szCs w:val="24"/>
        </w:rPr>
        <w:t xml:space="preserve">, the case involved the police searching the Gants vehicle in a legitimate </w:t>
      </w:r>
      <w:r w:rsidR="00A7773E" w:rsidRPr="00BD6A21">
        <w:rPr>
          <w:rFonts w:ascii="Times New Roman" w:hAnsi="Times New Roman" w:cs="Times New Roman"/>
          <w:sz w:val="24"/>
          <w:szCs w:val="24"/>
        </w:rPr>
        <w:t xml:space="preserve">traffic stop. The police found the Gant driving with a suspended license and in connection to the search they also found that the Gant’s vehicle had a gun and a bag of cocaine. The attorney to Gants </w:t>
      </w:r>
      <w:r w:rsidR="005E6A55" w:rsidRPr="00BD6A21">
        <w:rPr>
          <w:rFonts w:ascii="Times New Roman" w:hAnsi="Times New Roman" w:cs="Times New Roman"/>
          <w:sz w:val="24"/>
          <w:szCs w:val="24"/>
        </w:rPr>
        <w:t xml:space="preserve">filed a case in court to suppress the gun and the drugs not to be used as evidence because they were not obtained with a warrant. The case was that the gun and the </w:t>
      </w:r>
      <w:r w:rsidR="004F74D6" w:rsidRPr="00BD6A21">
        <w:rPr>
          <w:rFonts w:ascii="Times New Roman" w:hAnsi="Times New Roman" w:cs="Times New Roman"/>
          <w:sz w:val="24"/>
          <w:szCs w:val="24"/>
        </w:rPr>
        <w:t>bag of cocaine were found during the legitimate traffic stop and that no violation of fourth amendment rights was committed.</w:t>
      </w:r>
    </w:p>
    <w:p w:rsidR="00DC7161" w:rsidRPr="00BD6A21" w:rsidRDefault="004F74D6" w:rsidP="005F5C0B">
      <w:pPr>
        <w:spacing w:line="480" w:lineRule="auto"/>
        <w:ind w:firstLine="720"/>
        <w:rPr>
          <w:rFonts w:ascii="Times New Roman" w:hAnsi="Times New Roman" w:cs="Times New Roman"/>
          <w:sz w:val="24"/>
          <w:szCs w:val="24"/>
        </w:rPr>
      </w:pPr>
      <w:r w:rsidRPr="00BD6A21">
        <w:rPr>
          <w:rFonts w:ascii="Times New Roman" w:hAnsi="Times New Roman" w:cs="Times New Roman"/>
          <w:sz w:val="24"/>
          <w:szCs w:val="24"/>
        </w:rPr>
        <w:t xml:space="preserve"> The other is attenuation doctrine</w:t>
      </w:r>
      <w:r w:rsidR="0087097B">
        <w:rPr>
          <w:rFonts w:ascii="Times New Roman" w:hAnsi="Times New Roman" w:cs="Times New Roman"/>
          <w:sz w:val="24"/>
          <w:szCs w:val="24"/>
        </w:rPr>
        <w:t>,</w:t>
      </w:r>
      <w:r w:rsidRPr="00BD6A21">
        <w:rPr>
          <w:rFonts w:ascii="Times New Roman" w:hAnsi="Times New Roman" w:cs="Times New Roman"/>
          <w:sz w:val="24"/>
          <w:szCs w:val="24"/>
        </w:rPr>
        <w:t xml:space="preserve"> which states that the connection between the evidence</w:t>
      </w:r>
      <w:r w:rsidR="00E1189F" w:rsidRPr="00BD6A21">
        <w:rPr>
          <w:rFonts w:ascii="Times New Roman" w:hAnsi="Times New Roman" w:cs="Times New Roman"/>
          <w:sz w:val="24"/>
          <w:szCs w:val="24"/>
        </w:rPr>
        <w:t>,</w:t>
      </w:r>
      <w:r w:rsidRPr="00BD6A21">
        <w:rPr>
          <w:rFonts w:ascii="Times New Roman" w:hAnsi="Times New Roman" w:cs="Times New Roman"/>
          <w:sz w:val="24"/>
          <w:szCs w:val="24"/>
        </w:rPr>
        <w:t xml:space="preserve"> which is illegal and the exception permitting evidence improperly </w:t>
      </w:r>
      <w:r w:rsidR="00E1189F" w:rsidRPr="00BD6A21">
        <w:rPr>
          <w:rFonts w:ascii="Times New Roman" w:hAnsi="Times New Roman" w:cs="Times New Roman"/>
          <w:sz w:val="24"/>
          <w:szCs w:val="24"/>
        </w:rPr>
        <w:t xml:space="preserve">is admitted </w:t>
      </w:r>
      <w:r w:rsidRPr="00BD6A21">
        <w:rPr>
          <w:rFonts w:ascii="Times New Roman" w:hAnsi="Times New Roman" w:cs="Times New Roman"/>
          <w:sz w:val="24"/>
          <w:szCs w:val="24"/>
        </w:rPr>
        <w:t xml:space="preserve">at trial </w:t>
      </w:r>
      <w:r w:rsidR="00E1189F" w:rsidRPr="00BD6A21">
        <w:rPr>
          <w:rFonts w:ascii="Times New Roman" w:hAnsi="Times New Roman" w:cs="Times New Roman"/>
          <w:sz w:val="24"/>
          <w:szCs w:val="24"/>
        </w:rPr>
        <w:t>if the illegal means of obtaining the evidence are very remote to be considered in a court of law</w:t>
      </w:r>
      <w:r w:rsidR="0087097B" w:rsidRPr="0087097B">
        <w:rPr>
          <w:rFonts w:ascii="Times New Roman" w:hAnsi="Times New Roman" w:cs="Times New Roman"/>
          <w:color w:val="222222"/>
          <w:sz w:val="24"/>
          <w:szCs w:val="24"/>
          <w:shd w:val="clear" w:color="auto" w:fill="FFFFFF"/>
        </w:rPr>
        <w:t xml:space="preserve"> </w:t>
      </w:r>
      <w:r w:rsidR="0087097B">
        <w:rPr>
          <w:rFonts w:ascii="Times New Roman" w:hAnsi="Times New Roman" w:cs="Times New Roman"/>
          <w:color w:val="222222"/>
          <w:sz w:val="24"/>
          <w:szCs w:val="24"/>
          <w:shd w:val="clear" w:color="auto" w:fill="FFFFFF"/>
        </w:rPr>
        <w:t xml:space="preserve">(Kaplan, </w:t>
      </w:r>
      <w:r w:rsidR="0087097B" w:rsidRPr="00BD6A21">
        <w:rPr>
          <w:rFonts w:ascii="Times New Roman" w:hAnsi="Times New Roman" w:cs="Times New Roman"/>
          <w:color w:val="222222"/>
          <w:sz w:val="24"/>
          <w:szCs w:val="24"/>
          <w:shd w:val="clear" w:color="auto" w:fill="FFFFFF"/>
        </w:rPr>
        <w:t>1973)</w:t>
      </w:r>
      <w:r w:rsidR="00E1189F" w:rsidRPr="00BD6A21">
        <w:rPr>
          <w:rFonts w:ascii="Times New Roman" w:hAnsi="Times New Roman" w:cs="Times New Roman"/>
          <w:sz w:val="24"/>
          <w:szCs w:val="24"/>
        </w:rPr>
        <w:t xml:space="preserve">. </w:t>
      </w:r>
      <w:r w:rsidR="00EB3797" w:rsidRPr="00BD6A21">
        <w:rPr>
          <w:rFonts w:ascii="Times New Roman" w:hAnsi="Times New Roman" w:cs="Times New Roman"/>
          <w:sz w:val="24"/>
          <w:szCs w:val="24"/>
        </w:rPr>
        <w:t xml:space="preserve">The case to this exception involved Antoine Jones and drug traffickers, which sought to locate a GPS on his personal car and which the warrant expired before the usual installation of the devices. The Jones attorney filed a case against the evidence obtained and due to the </w:t>
      </w:r>
      <w:r w:rsidR="00EB3797" w:rsidRPr="00BD6A21">
        <w:rPr>
          <w:rFonts w:ascii="Times New Roman" w:hAnsi="Times New Roman" w:cs="Times New Roman"/>
          <w:sz w:val="24"/>
          <w:szCs w:val="24"/>
        </w:rPr>
        <w:lastRenderedPageBreak/>
        <w:t xml:space="preserve">exception of the exclusionary rule the attorney was denied the chance to run the case, because there was no violation of the fourth amendment protection rights. </w:t>
      </w:r>
    </w:p>
    <w:p w:rsidR="000724CF" w:rsidRDefault="00E1189F" w:rsidP="005F5C0B">
      <w:pPr>
        <w:spacing w:line="480" w:lineRule="auto"/>
        <w:ind w:firstLine="720"/>
        <w:rPr>
          <w:rFonts w:ascii="Times New Roman" w:hAnsi="Times New Roman" w:cs="Times New Roman"/>
          <w:sz w:val="24"/>
          <w:szCs w:val="24"/>
        </w:rPr>
      </w:pPr>
      <w:r w:rsidRPr="00BD6A21">
        <w:rPr>
          <w:rFonts w:ascii="Times New Roman" w:hAnsi="Times New Roman" w:cs="Times New Roman"/>
          <w:sz w:val="24"/>
          <w:szCs w:val="24"/>
        </w:rPr>
        <w:t>The third is independent course doctrine</w:t>
      </w:r>
      <w:r w:rsidR="0087097B">
        <w:rPr>
          <w:rFonts w:ascii="Times New Roman" w:hAnsi="Times New Roman" w:cs="Times New Roman"/>
          <w:sz w:val="24"/>
          <w:szCs w:val="24"/>
        </w:rPr>
        <w:t>,</w:t>
      </w:r>
      <w:r w:rsidRPr="00BD6A21">
        <w:rPr>
          <w:rFonts w:ascii="Times New Roman" w:hAnsi="Times New Roman" w:cs="Times New Roman"/>
          <w:sz w:val="24"/>
          <w:szCs w:val="24"/>
        </w:rPr>
        <w:t xml:space="preserve"> which states that the evidence obtained illegally is admitted at trial if the evidence was obtained by an independent person</w:t>
      </w:r>
      <w:r w:rsidR="00095C93" w:rsidRPr="00BD6A21">
        <w:rPr>
          <w:rFonts w:ascii="Times New Roman" w:hAnsi="Times New Roman" w:cs="Times New Roman"/>
          <w:sz w:val="24"/>
          <w:szCs w:val="24"/>
        </w:rPr>
        <w:t xml:space="preserve"> in activities which are legal</w:t>
      </w:r>
      <w:r w:rsidR="0087097B" w:rsidRPr="0087097B">
        <w:rPr>
          <w:rFonts w:ascii="Times New Roman" w:hAnsi="Times New Roman" w:cs="Times New Roman"/>
          <w:color w:val="222222"/>
          <w:sz w:val="24"/>
          <w:szCs w:val="24"/>
          <w:shd w:val="clear" w:color="auto" w:fill="FFFFFF"/>
        </w:rPr>
        <w:t xml:space="preserve"> </w:t>
      </w:r>
      <w:r w:rsidR="0087097B">
        <w:rPr>
          <w:rFonts w:ascii="Times New Roman" w:hAnsi="Times New Roman" w:cs="Times New Roman"/>
          <w:color w:val="222222"/>
          <w:sz w:val="24"/>
          <w:szCs w:val="24"/>
          <w:shd w:val="clear" w:color="auto" w:fill="FFFFFF"/>
        </w:rPr>
        <w:t>(Re, 2014)</w:t>
      </w:r>
      <w:r w:rsidR="00095C93" w:rsidRPr="00BD6A21">
        <w:rPr>
          <w:rFonts w:ascii="Times New Roman" w:hAnsi="Times New Roman" w:cs="Times New Roman"/>
          <w:sz w:val="24"/>
          <w:szCs w:val="24"/>
        </w:rPr>
        <w:t>.</w:t>
      </w:r>
      <w:r w:rsidR="00EB3797" w:rsidRPr="00BD6A21">
        <w:rPr>
          <w:rFonts w:ascii="Times New Roman" w:hAnsi="Times New Roman" w:cs="Times New Roman"/>
          <w:sz w:val="24"/>
          <w:szCs w:val="24"/>
        </w:rPr>
        <w:t xml:space="preserve"> The case to this exception include the </w:t>
      </w:r>
      <w:r w:rsidR="00DC7161" w:rsidRPr="00BD6A21">
        <w:rPr>
          <w:rFonts w:ascii="Times New Roman" w:hAnsi="Times New Roman" w:cs="Times New Roman"/>
          <w:sz w:val="24"/>
          <w:szCs w:val="24"/>
        </w:rPr>
        <w:t>Arizona and Evans, which included the evidence collected by the police in an official duty that is a Phoenix police officer. Evans was in possession of marijuana bag, although the police had a warrant which had been issued by the courts the past two weeks. This did not bar the courts from using the evidence since it was obtained during an official duty.</w:t>
      </w:r>
    </w:p>
    <w:p w:rsidR="00BD6A21" w:rsidRDefault="00BD6A21" w:rsidP="005F5C0B">
      <w:pPr>
        <w:spacing w:line="480" w:lineRule="auto"/>
        <w:ind w:firstLine="720"/>
        <w:rPr>
          <w:rFonts w:ascii="Times New Roman" w:hAnsi="Times New Roman" w:cs="Times New Roman"/>
          <w:sz w:val="24"/>
          <w:szCs w:val="24"/>
        </w:rPr>
      </w:pPr>
    </w:p>
    <w:p w:rsidR="00BD6A21" w:rsidRDefault="00BD6A21" w:rsidP="005F5C0B">
      <w:pPr>
        <w:spacing w:line="480" w:lineRule="auto"/>
        <w:ind w:firstLine="720"/>
        <w:rPr>
          <w:rFonts w:ascii="Times New Roman" w:hAnsi="Times New Roman" w:cs="Times New Roman"/>
          <w:sz w:val="24"/>
          <w:szCs w:val="24"/>
        </w:rPr>
      </w:pPr>
    </w:p>
    <w:p w:rsidR="00BD6A21" w:rsidRDefault="00BD6A21" w:rsidP="005F5C0B">
      <w:pPr>
        <w:spacing w:line="480" w:lineRule="auto"/>
        <w:ind w:firstLine="720"/>
        <w:rPr>
          <w:rFonts w:ascii="Times New Roman" w:hAnsi="Times New Roman" w:cs="Times New Roman"/>
          <w:sz w:val="24"/>
          <w:szCs w:val="24"/>
        </w:rPr>
      </w:pPr>
    </w:p>
    <w:p w:rsidR="00BD6A21" w:rsidRDefault="00BD6A21" w:rsidP="005F5C0B">
      <w:pPr>
        <w:spacing w:line="480" w:lineRule="auto"/>
        <w:ind w:firstLine="720"/>
        <w:rPr>
          <w:rFonts w:ascii="Times New Roman" w:hAnsi="Times New Roman" w:cs="Times New Roman"/>
          <w:sz w:val="24"/>
          <w:szCs w:val="24"/>
        </w:rPr>
      </w:pPr>
    </w:p>
    <w:p w:rsidR="00BD6A21" w:rsidRDefault="00BD6A21" w:rsidP="005F5C0B">
      <w:pPr>
        <w:spacing w:line="480" w:lineRule="auto"/>
        <w:ind w:firstLine="720"/>
        <w:rPr>
          <w:rFonts w:ascii="Times New Roman" w:hAnsi="Times New Roman" w:cs="Times New Roman"/>
          <w:sz w:val="24"/>
          <w:szCs w:val="24"/>
        </w:rPr>
      </w:pPr>
    </w:p>
    <w:p w:rsidR="00BD6A21" w:rsidRDefault="00BD6A21" w:rsidP="00BD6A21">
      <w:pPr>
        <w:spacing w:line="480" w:lineRule="auto"/>
        <w:rPr>
          <w:rFonts w:ascii="Times New Roman" w:hAnsi="Times New Roman" w:cs="Times New Roman"/>
          <w:sz w:val="24"/>
          <w:szCs w:val="24"/>
        </w:rPr>
      </w:pPr>
    </w:p>
    <w:p w:rsidR="00BD6A21" w:rsidRDefault="00BD6A21" w:rsidP="00BD6A21">
      <w:pPr>
        <w:spacing w:line="480" w:lineRule="auto"/>
        <w:rPr>
          <w:rFonts w:ascii="Times New Roman" w:hAnsi="Times New Roman" w:cs="Times New Roman"/>
          <w:sz w:val="24"/>
          <w:szCs w:val="24"/>
        </w:rPr>
      </w:pPr>
    </w:p>
    <w:p w:rsidR="00BD6A21" w:rsidRDefault="00BD6A21" w:rsidP="00BD6A21">
      <w:pPr>
        <w:spacing w:line="480" w:lineRule="auto"/>
        <w:rPr>
          <w:rFonts w:ascii="Times New Roman" w:hAnsi="Times New Roman" w:cs="Times New Roman"/>
          <w:sz w:val="24"/>
          <w:szCs w:val="24"/>
        </w:rPr>
      </w:pPr>
    </w:p>
    <w:p w:rsidR="00BD6A21" w:rsidRDefault="00BD6A21" w:rsidP="00BD6A21">
      <w:pPr>
        <w:spacing w:line="480" w:lineRule="auto"/>
        <w:rPr>
          <w:rFonts w:ascii="Times New Roman" w:hAnsi="Times New Roman" w:cs="Times New Roman"/>
          <w:sz w:val="24"/>
          <w:szCs w:val="24"/>
        </w:rPr>
      </w:pPr>
    </w:p>
    <w:p w:rsidR="00BD6A21" w:rsidRDefault="00BD6A21" w:rsidP="00BD6A21">
      <w:pPr>
        <w:spacing w:line="480" w:lineRule="auto"/>
        <w:rPr>
          <w:rFonts w:ascii="Times New Roman" w:hAnsi="Times New Roman" w:cs="Times New Roman"/>
          <w:sz w:val="24"/>
          <w:szCs w:val="24"/>
        </w:rPr>
      </w:pPr>
    </w:p>
    <w:p w:rsidR="00BD6A21" w:rsidRDefault="00BD6A21" w:rsidP="00BD6A21">
      <w:pPr>
        <w:spacing w:line="480" w:lineRule="auto"/>
        <w:rPr>
          <w:rFonts w:ascii="Times New Roman" w:hAnsi="Times New Roman" w:cs="Times New Roman"/>
          <w:sz w:val="24"/>
          <w:szCs w:val="24"/>
        </w:rPr>
      </w:pPr>
    </w:p>
    <w:p w:rsidR="00BD6A21" w:rsidRDefault="00BD6A21" w:rsidP="00BD6A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F5C0B" w:rsidRDefault="00BD6A21" w:rsidP="005F5C0B">
      <w:pPr>
        <w:spacing w:line="480" w:lineRule="auto"/>
        <w:ind w:left="720" w:hanging="720"/>
        <w:rPr>
          <w:rFonts w:ascii="Times New Roman" w:hAnsi="Times New Roman" w:cs="Times New Roman"/>
          <w:color w:val="222222"/>
          <w:sz w:val="24"/>
          <w:szCs w:val="24"/>
          <w:shd w:val="clear" w:color="auto" w:fill="FFFFFF"/>
        </w:rPr>
      </w:pPr>
      <w:r w:rsidRPr="00BD6A21">
        <w:rPr>
          <w:rFonts w:ascii="Times New Roman" w:hAnsi="Times New Roman" w:cs="Times New Roman"/>
          <w:color w:val="222222"/>
          <w:sz w:val="24"/>
          <w:szCs w:val="24"/>
          <w:shd w:val="clear" w:color="auto" w:fill="FFFFFF"/>
        </w:rPr>
        <w:t>Hanlon, C. (2015). Limited Faith in the Good Faith Exception: The Third Circuit Requires a Warrant for GPS Searches and Narrows the Scope of the Davis Exception to the Exclusionary</w:t>
      </w:r>
    </w:p>
    <w:p w:rsidR="005F5C0B" w:rsidRDefault="005F5C0B" w:rsidP="005F5C0B">
      <w:pPr>
        <w:spacing w:line="480" w:lineRule="auto"/>
        <w:ind w:left="720" w:hanging="720"/>
        <w:rPr>
          <w:rFonts w:ascii="Times New Roman" w:hAnsi="Times New Roman" w:cs="Times New Roman"/>
          <w:color w:val="222222"/>
          <w:sz w:val="24"/>
          <w:szCs w:val="24"/>
          <w:shd w:val="clear" w:color="auto" w:fill="FFFFFF"/>
        </w:rPr>
      </w:pPr>
      <w:r w:rsidRPr="00BD6A21">
        <w:rPr>
          <w:rFonts w:ascii="Times New Roman" w:hAnsi="Times New Roman" w:cs="Times New Roman"/>
          <w:color w:val="222222"/>
          <w:sz w:val="24"/>
          <w:szCs w:val="24"/>
          <w:shd w:val="clear" w:color="auto" w:fill="FFFFFF"/>
        </w:rPr>
        <w:t>Kaplan, J. (1973). The limits of the exclusionary rule. </w:t>
      </w:r>
      <w:r w:rsidRPr="00BD6A21">
        <w:rPr>
          <w:rFonts w:ascii="Times New Roman" w:hAnsi="Times New Roman" w:cs="Times New Roman"/>
          <w:i/>
          <w:iCs/>
          <w:color w:val="222222"/>
          <w:sz w:val="24"/>
          <w:szCs w:val="24"/>
          <w:shd w:val="clear" w:color="auto" w:fill="FFFFFF"/>
        </w:rPr>
        <w:t>Stan. L. Rev.</w:t>
      </w:r>
      <w:r w:rsidRPr="00BD6A21">
        <w:rPr>
          <w:rFonts w:ascii="Times New Roman" w:hAnsi="Times New Roman" w:cs="Times New Roman"/>
          <w:color w:val="222222"/>
          <w:sz w:val="24"/>
          <w:szCs w:val="24"/>
          <w:shd w:val="clear" w:color="auto" w:fill="FFFFFF"/>
        </w:rPr>
        <w:t>, </w:t>
      </w:r>
      <w:r w:rsidRPr="00BD6A21">
        <w:rPr>
          <w:rFonts w:ascii="Times New Roman" w:hAnsi="Times New Roman" w:cs="Times New Roman"/>
          <w:i/>
          <w:iCs/>
          <w:color w:val="222222"/>
          <w:sz w:val="24"/>
          <w:szCs w:val="24"/>
          <w:shd w:val="clear" w:color="auto" w:fill="FFFFFF"/>
        </w:rPr>
        <w:t>26</w:t>
      </w:r>
      <w:r w:rsidRPr="00BD6A21">
        <w:rPr>
          <w:rFonts w:ascii="Times New Roman" w:hAnsi="Times New Roman" w:cs="Times New Roman"/>
          <w:color w:val="222222"/>
          <w:sz w:val="24"/>
          <w:szCs w:val="24"/>
          <w:shd w:val="clear" w:color="auto" w:fill="FFFFFF"/>
        </w:rPr>
        <w:t>, 1027</w:t>
      </w:r>
    </w:p>
    <w:p w:rsidR="005F5C0B" w:rsidRPr="00BD6A21" w:rsidRDefault="005F5C0B" w:rsidP="005F5C0B">
      <w:pPr>
        <w:spacing w:line="480" w:lineRule="auto"/>
        <w:ind w:left="720" w:hanging="720"/>
        <w:rPr>
          <w:rFonts w:ascii="Times New Roman" w:hAnsi="Times New Roman" w:cs="Times New Roman"/>
          <w:color w:val="222222"/>
          <w:sz w:val="24"/>
          <w:szCs w:val="24"/>
          <w:shd w:val="clear" w:color="auto" w:fill="FFFFFF"/>
        </w:rPr>
      </w:pPr>
      <w:r w:rsidRPr="00BD6A21">
        <w:rPr>
          <w:rFonts w:ascii="Times New Roman" w:hAnsi="Times New Roman" w:cs="Times New Roman"/>
          <w:color w:val="222222"/>
          <w:sz w:val="24"/>
          <w:szCs w:val="24"/>
          <w:shd w:val="clear" w:color="auto" w:fill="FFFFFF"/>
        </w:rPr>
        <w:t>Re, R. M. (2014). The Due Process Exclusionary Rule. </w:t>
      </w:r>
      <w:r w:rsidRPr="00BD6A21">
        <w:rPr>
          <w:rFonts w:ascii="Times New Roman" w:hAnsi="Times New Roman" w:cs="Times New Roman"/>
          <w:i/>
          <w:iCs/>
          <w:color w:val="222222"/>
          <w:sz w:val="24"/>
          <w:szCs w:val="24"/>
          <w:shd w:val="clear" w:color="auto" w:fill="FFFFFF"/>
        </w:rPr>
        <w:t>Harvard Law Review</w:t>
      </w:r>
      <w:r w:rsidRPr="00BD6A21">
        <w:rPr>
          <w:rFonts w:ascii="Times New Roman" w:hAnsi="Times New Roman" w:cs="Times New Roman"/>
          <w:color w:val="222222"/>
          <w:sz w:val="24"/>
          <w:szCs w:val="24"/>
          <w:shd w:val="clear" w:color="auto" w:fill="FFFFFF"/>
        </w:rPr>
        <w:t>, 1885-1966.</w:t>
      </w:r>
    </w:p>
    <w:p w:rsidR="00BD6A21" w:rsidRPr="00BD6A21" w:rsidRDefault="00BD6A21" w:rsidP="005F5C0B">
      <w:pPr>
        <w:spacing w:line="480" w:lineRule="auto"/>
        <w:ind w:left="720" w:hanging="720"/>
        <w:rPr>
          <w:rFonts w:ascii="Times New Roman" w:hAnsi="Times New Roman" w:cs="Times New Roman"/>
          <w:color w:val="222222"/>
          <w:sz w:val="24"/>
          <w:szCs w:val="24"/>
          <w:shd w:val="clear" w:color="auto" w:fill="FFFFFF"/>
        </w:rPr>
      </w:pPr>
      <w:r w:rsidRPr="00BD6A21">
        <w:rPr>
          <w:rFonts w:ascii="Times New Roman" w:hAnsi="Times New Roman" w:cs="Times New Roman"/>
          <w:color w:val="222222"/>
          <w:sz w:val="24"/>
          <w:szCs w:val="24"/>
          <w:shd w:val="clear" w:color="auto" w:fill="FFFFFF"/>
        </w:rPr>
        <w:t>Rule in United States v. Katzin. </w:t>
      </w:r>
      <w:r w:rsidRPr="00BD6A21">
        <w:rPr>
          <w:rFonts w:ascii="Times New Roman" w:hAnsi="Times New Roman" w:cs="Times New Roman"/>
          <w:i/>
          <w:iCs/>
          <w:color w:val="222222"/>
          <w:sz w:val="24"/>
          <w:szCs w:val="24"/>
          <w:shd w:val="clear" w:color="auto" w:fill="FFFFFF"/>
        </w:rPr>
        <w:t>BCL Rev.</w:t>
      </w:r>
      <w:r w:rsidRPr="00BD6A21">
        <w:rPr>
          <w:rFonts w:ascii="Times New Roman" w:hAnsi="Times New Roman" w:cs="Times New Roman"/>
          <w:color w:val="222222"/>
          <w:sz w:val="24"/>
          <w:szCs w:val="24"/>
          <w:shd w:val="clear" w:color="auto" w:fill="FFFFFF"/>
        </w:rPr>
        <w:t>, </w:t>
      </w:r>
      <w:r w:rsidRPr="00BD6A21">
        <w:rPr>
          <w:rFonts w:ascii="Times New Roman" w:hAnsi="Times New Roman" w:cs="Times New Roman"/>
          <w:i/>
          <w:iCs/>
          <w:color w:val="222222"/>
          <w:sz w:val="24"/>
          <w:szCs w:val="24"/>
          <w:shd w:val="clear" w:color="auto" w:fill="FFFFFF"/>
        </w:rPr>
        <w:t>56</w:t>
      </w:r>
      <w:r w:rsidRPr="00BD6A21">
        <w:rPr>
          <w:rFonts w:ascii="Times New Roman" w:hAnsi="Times New Roman" w:cs="Times New Roman"/>
          <w:color w:val="222222"/>
          <w:sz w:val="24"/>
          <w:szCs w:val="24"/>
          <w:shd w:val="clear" w:color="auto" w:fill="FFFFFF"/>
        </w:rPr>
        <w:t>, 33.</w:t>
      </w:r>
    </w:p>
    <w:p w:rsidR="00BD6A21" w:rsidRPr="00BD6A21" w:rsidRDefault="00BD6A21" w:rsidP="0087097B">
      <w:pPr>
        <w:spacing w:line="480" w:lineRule="auto"/>
        <w:rPr>
          <w:rFonts w:ascii="Times New Roman" w:hAnsi="Times New Roman" w:cs="Times New Roman"/>
          <w:sz w:val="24"/>
          <w:szCs w:val="24"/>
        </w:rPr>
      </w:pPr>
      <w:r w:rsidRPr="00BD6A21">
        <w:rPr>
          <w:rFonts w:ascii="Times New Roman" w:hAnsi="Times New Roman" w:cs="Times New Roman"/>
          <w:color w:val="222222"/>
          <w:sz w:val="24"/>
          <w:szCs w:val="24"/>
          <w:shd w:val="clear" w:color="auto" w:fill="FFFFFF"/>
        </w:rPr>
        <w:t>.</w:t>
      </w:r>
      <w:bookmarkStart w:id="0" w:name="_GoBack"/>
      <w:bookmarkEnd w:id="0"/>
    </w:p>
    <w:sectPr w:rsidR="00BD6A21" w:rsidRPr="00BD6A21" w:rsidSect="00BD6A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EFF" w:rsidRDefault="00F02EFF" w:rsidP="00DC7161">
      <w:pPr>
        <w:spacing w:after="0" w:line="240" w:lineRule="auto"/>
      </w:pPr>
      <w:r>
        <w:separator/>
      </w:r>
    </w:p>
  </w:endnote>
  <w:endnote w:type="continuationSeparator" w:id="0">
    <w:p w:rsidR="00F02EFF" w:rsidRDefault="00F02EFF" w:rsidP="00DC7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EFF" w:rsidRDefault="00F02EFF" w:rsidP="00DC7161">
      <w:pPr>
        <w:spacing w:after="0" w:line="240" w:lineRule="auto"/>
      </w:pPr>
      <w:r>
        <w:separator/>
      </w:r>
    </w:p>
  </w:footnote>
  <w:footnote w:type="continuationSeparator" w:id="0">
    <w:p w:rsidR="00F02EFF" w:rsidRDefault="00F02EFF" w:rsidP="00DC7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131531"/>
      <w:docPartObj>
        <w:docPartGallery w:val="Page Numbers (Top of Page)"/>
        <w:docPartUnique/>
      </w:docPartObj>
    </w:sdtPr>
    <w:sdtEndPr>
      <w:rPr>
        <w:rFonts w:ascii="Times New Roman" w:hAnsi="Times New Roman" w:cs="Times New Roman"/>
        <w:noProof/>
        <w:sz w:val="24"/>
        <w:szCs w:val="24"/>
      </w:rPr>
    </w:sdtEndPr>
    <w:sdtContent>
      <w:p w:rsidR="00DC7161" w:rsidRPr="00DC7161" w:rsidRDefault="00DC7161">
        <w:pPr>
          <w:pStyle w:val="Header"/>
          <w:jc w:val="right"/>
          <w:rPr>
            <w:rFonts w:ascii="Times New Roman" w:hAnsi="Times New Roman" w:cs="Times New Roman"/>
            <w:sz w:val="24"/>
            <w:szCs w:val="24"/>
          </w:rPr>
        </w:pPr>
        <w:r w:rsidRPr="00DC7161">
          <w:rPr>
            <w:rFonts w:ascii="Times New Roman" w:hAnsi="Times New Roman" w:cs="Times New Roman"/>
            <w:sz w:val="24"/>
            <w:szCs w:val="24"/>
          </w:rPr>
          <w:fldChar w:fldCharType="begin"/>
        </w:r>
        <w:r w:rsidRPr="00DC7161">
          <w:rPr>
            <w:rFonts w:ascii="Times New Roman" w:hAnsi="Times New Roman" w:cs="Times New Roman"/>
            <w:sz w:val="24"/>
            <w:szCs w:val="24"/>
          </w:rPr>
          <w:instrText xml:space="preserve"> PAGE   \* MERGEFORMAT </w:instrText>
        </w:r>
        <w:r w:rsidRPr="00DC7161">
          <w:rPr>
            <w:rFonts w:ascii="Times New Roman" w:hAnsi="Times New Roman" w:cs="Times New Roman"/>
            <w:sz w:val="24"/>
            <w:szCs w:val="24"/>
          </w:rPr>
          <w:fldChar w:fldCharType="separate"/>
        </w:r>
        <w:r w:rsidR="005F5C0B">
          <w:rPr>
            <w:rFonts w:ascii="Times New Roman" w:hAnsi="Times New Roman" w:cs="Times New Roman"/>
            <w:noProof/>
            <w:sz w:val="24"/>
            <w:szCs w:val="24"/>
          </w:rPr>
          <w:t>4</w:t>
        </w:r>
        <w:r w:rsidRPr="00DC7161">
          <w:rPr>
            <w:rFonts w:ascii="Times New Roman" w:hAnsi="Times New Roman" w:cs="Times New Roman"/>
            <w:noProof/>
            <w:sz w:val="24"/>
            <w:szCs w:val="24"/>
          </w:rPr>
          <w:fldChar w:fldCharType="end"/>
        </w:r>
      </w:p>
    </w:sdtContent>
  </w:sdt>
  <w:p w:rsidR="00DC7161" w:rsidRPr="00DC7161" w:rsidRDefault="00BD6A21">
    <w:pPr>
      <w:pStyle w:val="Header"/>
      <w:rPr>
        <w:rFonts w:ascii="Times New Roman" w:hAnsi="Times New Roman" w:cs="Times New Roman"/>
        <w:sz w:val="24"/>
        <w:szCs w:val="24"/>
      </w:rPr>
    </w:pPr>
    <w:r>
      <w:rPr>
        <w:rFonts w:ascii="Times New Roman" w:hAnsi="Times New Roman" w:cs="Times New Roman"/>
        <w:sz w:val="24"/>
        <w:szCs w:val="24"/>
      </w:rPr>
      <w:t>Running head: EXCLUSIONARY RULE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152"/>
    <w:rsid w:val="000724CF"/>
    <w:rsid w:val="00087152"/>
    <w:rsid w:val="00095C93"/>
    <w:rsid w:val="002F3B4F"/>
    <w:rsid w:val="004F74D6"/>
    <w:rsid w:val="005E5371"/>
    <w:rsid w:val="005E6A55"/>
    <w:rsid w:val="005F5C0B"/>
    <w:rsid w:val="0087097B"/>
    <w:rsid w:val="008B3A62"/>
    <w:rsid w:val="00A7773E"/>
    <w:rsid w:val="00BD6A21"/>
    <w:rsid w:val="00DC7161"/>
    <w:rsid w:val="00E1189F"/>
    <w:rsid w:val="00EB3797"/>
    <w:rsid w:val="00F02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11F63"/>
  <w15:chartTrackingRefBased/>
  <w15:docId w15:val="{C491CD68-6BF6-4C96-85A4-D5ED7F151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161"/>
  </w:style>
  <w:style w:type="paragraph" w:styleId="Footer">
    <w:name w:val="footer"/>
    <w:basedOn w:val="Normal"/>
    <w:link w:val="FooterChar"/>
    <w:uiPriority w:val="99"/>
    <w:unhideWhenUsed/>
    <w:rsid w:val="00DC7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2018-04-15T11:52:00Z</dcterms:created>
  <dcterms:modified xsi:type="dcterms:W3CDTF">2018-04-15T11:52:00Z</dcterms:modified>
</cp:coreProperties>
</file>